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styles.xml" ContentType="application/vnd.openxmlformats-officedocument.wordprocessingml.styl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officeDocument" Target="/word/document.xml" Id="R70df377e02804fc3" /></Relationships>
</file>

<file path=word/document.xml><?xml version="1.0" encoding="utf-8"?>
<w:document xmlns:w="http://schemas.openxmlformats.org/wordprocessingml/2006/main">
  <w:body>
    <w:tbl>
      <w:tblPr>
        <w:tblW w:w="9000" w:type="dxa"/>
        <w:tblBorders>
          <w:top w:val="nil"/>
          <w:bottom w:val="nil"/>
          <w:left w:val="nil"/>
          <w:right w:val="nil"/>
          <w:insideH w:val="nil"/>
          <w:insideV w:val="nil"/>
        </w:tblBorders>
        <w:tblCellSpacing w:w="60" w:type="dxa"/>
        <w:shd w:val="clear" w:color="auto" w:fill="E7F0F9"/>
      </w:tblPr>
      <w:tblGrid>
        <w:gridCol w:w="1200"/>
        <w:gridCol w:w="4500"/>
      </w:tblGrid>
      <w:tr>
        <w:tc>
          <w:tcPr>
            <w:tcW w:w="1200" w:type="pct"/>
            <w:shd w:val="clear" w:color="auto" w:fill="E7F0F9"/>
          </w:tcPr>
          <w:p>
            <w:pPr>
              <w:spacing w:before="0" w:after="0" w:line="240" w:lineRule="auto"/>
              <w:jc w:val="left"/>
            </w:pPr>
            <w:r>
              <w:rPr>
                <w:b/>
              </w:rPr>
              <w:t xml:space="preserve">RKP broj</w:t>
            </w:r>
          </w:p>
        </w:tc>
        <w:tc>
          <w:tcPr>
            <w:shd w:val="clear" w:color="auto" w:fill="E7F0F9"/>
          </w:tcPr>
          <w:p>
            <w:pPr>
              <w:spacing w:before="0" w:after="0" w:line="240" w:lineRule="auto"/>
              <w:jc w:val="left"/>
            </w:pPr>
            <w:r>
              <w:t xml:space="preserve">43677</w:t>
            </w:r>
          </w:p>
        </w:tc>
      </w:tr>
      <w:tr>
        <w:tc>
          <w:tcPr>
            <w:tcW w:w="1200" w:type="pct"/>
            <w:shd w:val="clear" w:color="auto" w:fill="E7F0F9"/>
          </w:tcPr>
          <w:p>
            <w:pPr>
              <w:spacing w:before="0" w:after="0" w:line="240" w:lineRule="auto"/>
              <w:jc w:val="left"/>
            </w:pPr>
            <w:r>
              <w:rPr>
                <w:b/>
              </w:rPr>
              <w:t xml:space="preserve">Naziv obveznika</w:t>
            </w:r>
          </w:p>
        </w:tc>
        <w:tc>
          <w:tcPr>
            <w:shd w:val="clear" w:color="auto" w:fill="E7F0F9"/>
          </w:tcPr>
          <w:p>
            <w:pPr>
              <w:spacing w:before="0" w:after="0" w:line="240" w:lineRule="auto"/>
              <w:jc w:val="left"/>
            </w:pPr>
            <w:r>
              <w:t xml:space="preserve">MUZEJ GRADA PREGRADE ZLATKO DRAGUTIN TUDJINA</w:t>
            </w:r>
          </w:p>
        </w:tc>
      </w:tr>
      <w:tr>
        <w:tc>
          <w:tcPr>
            <w:tcW w:w="1200" w:type="pct"/>
            <w:shd w:val="clear" w:color="auto" w:fill="E7F0F9"/>
          </w:tcPr>
          <w:p>
            <w:pPr>
              <w:spacing w:before="0" w:after="0" w:line="240" w:lineRule="auto"/>
              <w:jc w:val="left"/>
            </w:pPr>
            <w:r>
              <w:rPr>
                <w:b/>
              </w:rPr>
              <w:t xml:space="preserve">Razina</w:t>
            </w:r>
          </w:p>
        </w:tc>
        <w:tc>
          <w:tcPr>
            <w:shd w:val="clear" w:color="auto" w:fill="E7F0F9"/>
          </w:tcPr>
          <w:p>
            <w:pPr>
              <w:spacing w:before="0" w:after="0" w:line="240" w:lineRule="auto"/>
              <w:jc w:val="left"/>
            </w:pPr>
            <w:r>
              <w:t xml:space="preserve">21</w:t>
            </w:r>
          </w:p>
        </w:tc>
      </w:tr>
    </w:tbl>
    <w:p>
      <w:r>
        <w:br/>
      </w:r>
    </w:p>
    <w:p>
      <w:pPr>
        <w:jc w:val="center"/>
        <w:pStyle w:val="Normal"/>
        <w:spacing w:line="240" w:lineRule="auto"/>
      </w:pPr>
      <w:r>
        <w:rPr>
          <w:b/>
          <w:sz w:val="28"/>
          <w:rFonts w:ascii="Times New Roman" w:hAnsi="Times New Roman"/>
        </w:rPr>
        <w:t xml:space="preserve">BILJEŠKE UZ FINANCIJSKE IZVJEŠTAJE</w:t>
      </w:r>
    </w:p>
    <w:p>
      <w:pPr>
        <w:jc w:val="center"/>
        <w:pStyle w:val="Normal"/>
        <w:spacing w:line="240" w:lineRule="auto"/>
      </w:pPr>
      <w:r>
        <w:rPr>
          <w:b/>
          <w:sz w:val="28"/>
          <w:rFonts w:ascii="Times New Roman" w:hAnsi="Times New Roman"/>
        </w:rPr>
        <w:t xml:space="preserve">ZA RAZDOBLJE</w:t>
      </w:r>
    </w:p>
    <w:p>
      <w:pPr>
        <w:jc w:val="center"/>
        <w:pStyle w:val="Normal"/>
        <w:spacing w:line="240" w:lineRule="auto"/>
      </w:pPr>
      <w:r>
        <w:rPr>
          <w:b/>
          <w:sz w:val="28"/>
          <w:rFonts w:ascii="Times New Roman" w:hAnsi="Times New Roman"/>
        </w:rPr>
        <w:t xml:space="preserve">I - XII 2025.</w:t>
      </w:r>
    </w:p>
    <w:p/>
    <w:p>
      <w:pPr>
        <w:jc w:val="center"/>
        <w:pStyle w:val="Normal"/>
        <w:spacing w:line="240" w:lineRule="auto"/>
        <w:keepNext/>
      </w:pPr>
      <w:r>
        <w:rPr>
          <w:b/>
          <w:sz w:val="28"/>
          <w:rFonts w:ascii="Times New Roman" w:hAnsi="Times New Roman"/>
        </w:rPr>
        <w:t xml:space="preserve">Izvještaj o prihodima i rashodima, primicima i izdacima</w:t>
      </w:r>
    </w:p>
    <w:p>
      <w:pPr>
        <w:jc w:val="center"/>
        <w:pStyle w:val="Normal"/>
        <w:spacing w:line="240" w:lineRule="auto"/>
        <w:keepNext/>
      </w:pPr>
      <w:r>
        <w:rPr>
          <w:sz w:val="28"/>
          <w:rFonts w:ascii="Times New Roman" w:hAnsi="Times New Roman"/>
        </w:rPr>
        <w:t xml:space="preserve">Bilješka 1.</w:t>
      </w:r>
    </w:p>
    <w:tbl>
      <w:tblPr>
        <w:tblBorders>
          <w:top w:val="single" w:color="BABABA" w:sz="12"/>
          <w:bottom w:val="single" w:color="BABABA" w:sz="12"/>
          <w:left w:val="single" w:color="BABABA" w:sz="12"/>
          <w:right w:val="single" w:color="BABABA" w:sz="12"/>
          <w:insideH w:val="single" w:color="BABABA" w:sz="8"/>
          <w:insideV w:val="single" w:color="DADADA" w:sz="8"/>
        </w:tblBorders>
        <w:tblW w:w="0" w:type="auto"/>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PRIHODI POSLOVANJA (šifre 61+62+63+64+65+66+67+68)</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78.448,78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25.957,89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33,1</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RASHODI POSLOVANJA (šifre 31+32+34+35+36+37+38)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37.257,19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60.950,71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163,6</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MANJAK PRIHODA POSLOVANJA (šifre Z005-6)</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Y001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34.992,82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7</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Prihodi od prodaje nefinancijske imovine (šifre 71+72+73+74)</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Rashodi za nabavu nefinancijske imovine (šifre 41+42+43+44+45)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14.041,81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4.781,47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34,1</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MANJAK PRIHODA OD NEFINANCIJSKE IMOVINE (šifre 4-7)</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Y002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14.041,81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4.781,47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34,1</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8</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Primici od financijske imovine i zaduživanja (šifre 81+82+83+84+85)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Izdaci za financijsku imovinu i otplate zajmova (šifre 51+52+53+54+55)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VIŠAK/MANJAK PRIMITAKA OD FINANCIJSKE IMOVINE I ZADUŽIVANJA (šifre 8-5, 5-8)</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X003, Y003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MANJAK PRIHODA I PRIMITAKA (šifre Y345-X678)</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Y005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39.774,29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w:t>
            </w:r>
          </w:p>
        </w:tc>
      </w:tr>
    </w:tbl>
    <w:p>
      <w:pPr>
        <w:spacing w:before="0" w:after="0"/>
      </w:pPr>
    </w:p>
    <w:p>
      <w:r>
        <w:t xml:space="preserve">Ukupni prihodi i primici u razdoblju od 01.01.2025. do 31.12.2025. u iznose 25.957,89 EUR odnosno 66,90 % manje u odnosu na isto razdoblje protekle godine. Najznačajnije povećanje prihoda odnosi se na prihode ostvarene od prodaje ulaznica na čemu bilježimo povećanje od 7,9%. Najznačajnije smanjenje se odnosi na prihode od pomoći po ostvarenim EU sredstvima (Erasmus+ projekti) rezultat je računovodstvenog evidentiranja, gdje uplaćena akreditacija za 2025. godinu nije iskorištena u tekućoj godini. Prema novim uputama, isto se knjiži na obveze za uplaćene predujmove.</w:t>
      </w:r>
    </w:p>
    <w:p>
      <w:r>
        <w:t xml:space="preserve">Ukupni rashodi i izdaci iznose 60.950,71 EUR odnosno 28,80 % više u odnosu na isto razdoblje protekle godine. Najznačajnije povećanje rashoda evidentirano je na materijalnim rashodima (službena putovanja) i na pomoćima danim u inozemstvo i unutar opće proračuna zbog realizacije aktivnosti po Erasmus projektima.</w:t>
      </w:r>
    </w:p>
    <w:p>
      <w:r>
        <w:t xml:space="preserve">U navedenom razdoblju nije bilo ostvarenih primitaka i izdataka od financijske imovine i zaduživanja. </w:t>
      </w:r>
    </w:p>
    <w:p>
      <w:r>
        <w:t xml:space="preserve">U razdoblju od 01.01.2025. do 31.12.2025. ostvaren je manjak prihoda poslovanja od 34.992,82 EUR, manjak prihoda od nefinancijske imovine u iznosu od 4.781,47 EUR, iz čega slijedi da je na kraju izvještajnog razdoblja ostvaren ukupan manjak prihoda i primitaka u iznosu od 39.774,29 EUR.</w:t>
      </w:r>
    </w:p>
    <w:p>
      <w:r>
        <w:t xml:space="preserve">Muzej Grada Pregrade nema ugovorne odnose koji bi, uz ispunjenje određenih uvjeta, mogli postati obveza ili imovina, poput danih kreditnih pisama, hipoteka ili sličnih instrumenata Potencijalnih obveza po sudskim sporovima i sudskih sporova u tijeku nema.</w:t>
      </w:r>
    </w:p>
    <w:p>
      <w:r>
        <w:t xml:space="preserve"> </w:t>
      </w:r>
    </w:p>
    <w:p>
      <w:r>
        <w:br/>
      </w:r>
    </w:p>
    <w:p>
      <w:pPr>
        <w:jc w:val="center"/>
        <w:pStyle w:val="Normal"/>
        <w:spacing w:line="240" w:lineRule="auto"/>
        <w:keepNext/>
      </w:pPr>
      <w:r>
        <w:rPr>
          <w:sz w:val="28"/>
          <w:rFonts w:ascii="Times New Roman" w:hAnsi="Times New Roman"/>
        </w:rPr>
        <w:t xml:space="preserve">Bilješka 2.</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636</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Pomoći proračunskim korisnicima iz proračuna koji im nije nadležan (šifre 6361+6362)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636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7.000,00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3.000,00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42,9</w:t>
            </w:r>
          </w:p>
        </w:tc>
      </w:tr>
    </w:tbl>
    <w:p>
      <w:pPr>
        <w:spacing w:before="0" w:after="0"/>
      </w:pPr>
    </w:p>
    <w:p>
      <w:r>
        <w:t xml:space="preserve">Na šifri 636 prikazani su prihodi u iznosu od 3.000,00 EUR, koji se odnose na pomoći od Ministarstva kulture i medija po Javnom pozivu dobivene za opremanje muzejske čuvaonice Muzeja grada Pregrade. </w:t>
      </w:r>
    </w:p>
    <w:p/>
    <w:p>
      <w:pPr>
        <w:jc w:val="center"/>
        <w:pStyle w:val="Normal"/>
        <w:spacing w:line="240" w:lineRule="auto"/>
        <w:keepNext/>
      </w:pPr>
      <w:r>
        <w:rPr>
          <w:sz w:val="28"/>
          <w:rFonts w:ascii="Times New Roman" w:hAnsi="Times New Roman"/>
        </w:rPr>
        <w:t xml:space="preserve">Bilješka 3.</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638</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Pomoći temeljem prijenosa EU sredstava (šifre 6381+6382)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638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52.599,00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7.098,69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13,5</w:t>
            </w:r>
          </w:p>
        </w:tc>
      </w:tr>
    </w:tbl>
    <w:p>
      <w:pPr>
        <w:spacing w:before="0" w:after="0"/>
      </w:pPr>
    </w:p>
    <w:p>
      <w:r>
        <w:t xml:space="preserve">Na šifri 638 prikazani su prihodi u iznosu od 7.098,69 EUR. Ukupan iznos se odnosi na povrat sredstava po realiziranoj aktivnosti na satanku suradnje i osposobljavanja (TCA) Erasmus programa iz 2024. godine, te na sredstva po završnom izvješću po projektu Erasmus akreditacija.</w:t>
      </w:r>
    </w:p>
    <w:p/>
    <w:p>
      <w:pPr>
        <w:jc w:val="center"/>
        <w:pStyle w:val="Normal"/>
        <w:spacing w:line="240" w:lineRule="auto"/>
        <w:keepNext/>
      </w:pPr>
      <w:r>
        <w:rPr>
          <w:sz w:val="28"/>
          <w:rFonts w:ascii="Times New Roman" w:hAnsi="Times New Roman"/>
        </w:rPr>
        <w:t xml:space="preserve">Bilješka 4.</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64</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Prihodi od imovine (šifre 641+642+643)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0,55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0,76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138,2</w:t>
            </w:r>
          </w:p>
        </w:tc>
      </w:tr>
    </w:tbl>
    <w:p>
      <w:pPr>
        <w:spacing w:before="0" w:after="0"/>
      </w:pPr>
    </w:p>
    <w:p>
      <w:r>
        <w:t xml:space="preserve">Na šifri 641  prikazani su prikazan je iznos pasivnih kamata po računu u iznosu od 0,76 EUR. </w:t>
      </w:r>
    </w:p>
    <w:p/>
    <w:p>
      <w:pPr>
        <w:jc w:val="center"/>
        <w:pStyle w:val="Normal"/>
        <w:spacing w:line="240" w:lineRule="auto"/>
        <w:keepNext/>
      </w:pPr>
      <w:r>
        <w:rPr>
          <w:sz w:val="28"/>
          <w:rFonts w:ascii="Times New Roman" w:hAnsi="Times New Roman"/>
        </w:rPr>
        <w:t xml:space="preserve">Bilješka 5.</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Prihodi od upravnih i administrativnih pristojbi, pristojbi po posebnim propisima i naknada (šifre 651+652+653+654)</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1.133,00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1.222,00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107,9</w:t>
            </w:r>
          </w:p>
        </w:tc>
      </w:tr>
    </w:tbl>
    <w:p>
      <w:pPr>
        <w:spacing w:before="0" w:after="0"/>
      </w:pPr>
    </w:p>
    <w:p>
      <w:r>
        <w:t xml:space="preserve">Na šifri 652  prikazan je iznos od 1.222,00 EUR koji se odnosi na prodaju ulaznica i stručno vodstvo po muzeju. </w:t>
      </w:r>
    </w:p>
    <w:p/>
    <w:p>
      <w:pPr>
        <w:jc w:val="center"/>
        <w:pStyle w:val="Normal"/>
        <w:spacing w:line="240" w:lineRule="auto"/>
        <w:keepNext/>
      </w:pPr>
      <w:r>
        <w:rPr>
          <w:sz w:val="28"/>
          <w:rFonts w:ascii="Times New Roman" w:hAnsi="Times New Roman"/>
        </w:rPr>
        <w:t xml:space="preserve">Bilješka 6.</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66</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Prihodi od prodaje proizvoda i robe te pruženih usluga, prihodi od donacija te povrati po protestiranim jamstvima (šifre 661+663)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611,00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293,20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48,0</w:t>
            </w:r>
          </w:p>
        </w:tc>
      </w:tr>
    </w:tbl>
    <w:p>
      <w:pPr>
        <w:spacing w:before="0" w:after="0"/>
      </w:pPr>
    </w:p>
    <w:p>
      <w:r>
        <w:t xml:space="preserve">Na šifri 661 prikazani su prihodi od prodaje proizvoda i robe u iznosu od 293,00 EUR. Većina realiziranih prihoda odnosi se na prihode od prodaje prigodnih suvenira  i publikacija. Iznos je manji u odnosu na prethodno razdoblje zbog manje prodanih suvenira i publikacija.</w:t>
      </w:r>
    </w:p>
    <w:p/>
    <w:p>
      <w:pPr>
        <w:jc w:val="center"/>
        <w:pStyle w:val="Normal"/>
        <w:spacing w:line="240" w:lineRule="auto"/>
        <w:keepNext/>
      </w:pPr>
      <w:r>
        <w:rPr>
          <w:sz w:val="28"/>
          <w:rFonts w:ascii="Times New Roman" w:hAnsi="Times New Roman"/>
        </w:rPr>
        <w:t xml:space="preserve">Bilješka 7.</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67</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Prihodi iz nadležnog proračuna i od HZZO-a na temelju ugovornih obveza (šifre 671+673)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17.105,23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14.343,24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83,9</w:t>
            </w:r>
          </w:p>
        </w:tc>
      </w:tr>
    </w:tbl>
    <w:p>
      <w:pPr>
        <w:spacing w:before="0" w:after="0"/>
      </w:pPr>
    </w:p>
    <w:p>
      <w:r>
        <w:t xml:space="preserve">Na šifri 671  prikazani su prihodi iz nadležnog proračuna za financiranje redovne djelatnosti te financiranja rashoda za nabavu nefinancijske imovine  Muzeja grada Pregrade Zlatko Dragutin Tudjina i nabavu uredskog namještaja za kuću Janka Leskovara u ukupnom iznosu od 14.343,24 EUR. </w:t>
      </w:r>
    </w:p>
    <w:p/>
    <w:p>
      <w:pPr>
        <w:jc w:val="center"/>
        <w:pStyle w:val="Normal"/>
        <w:spacing w:line="240" w:lineRule="auto"/>
        <w:keepNext/>
      </w:pPr>
      <w:r>
        <w:rPr>
          <w:sz w:val="28"/>
          <w:rFonts w:ascii="Times New Roman" w:hAnsi="Times New Roman"/>
        </w:rPr>
        <w:t xml:space="preserve">Bilješka 8.</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RASHODI POSLOVANJA (šifre 31+32+34+35+36+37+38)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37.257,19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60.950,71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163,6</w:t>
            </w:r>
          </w:p>
        </w:tc>
      </w:tr>
    </w:tbl>
    <w:p>
      <w:pPr>
        <w:spacing w:before="0" w:after="0"/>
      </w:pPr>
    </w:p>
    <w:p>
      <w:r>
        <w:t xml:space="preserve">Ukupni rashodi iznose 65.732,18 EUR. </w:t>
      </w:r>
    </w:p>
    <w:p>
      <w:r>
        <w:t xml:space="preserve">Na šifri 31 – rashodi za zaposlene  - nema iskazanih rashoda jer Muzej nema zaposlenih djelatnika.</w:t>
      </w:r>
    </w:p>
    <w:p/>
    <w:p>
      <w:pPr>
        <w:jc w:val="center"/>
        <w:pStyle w:val="Normal"/>
        <w:spacing w:line="240" w:lineRule="auto"/>
        <w:keepNext/>
      </w:pPr>
      <w:r>
        <w:rPr>
          <w:sz w:val="28"/>
          <w:rFonts w:ascii="Times New Roman" w:hAnsi="Times New Roman"/>
        </w:rPr>
        <w:t xml:space="preserve">Bilješka 9.</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Materijalni rashodi (šifre 321+322+323+324+325+329)</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26.179,33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33.731,58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128,8</w:t>
            </w:r>
          </w:p>
        </w:tc>
      </w:tr>
    </w:tbl>
    <w:p>
      <w:pPr>
        <w:spacing w:before="0" w:after="0"/>
      </w:pPr>
    </w:p>
    <w:p>
      <w:r>
        <w:t xml:space="preserve">Na šifri 32 – materijalni rashodi – u iznosu od 33.731,58 EUR iskazani su svi materijalni rashodi. Rashodi za službena putovanja iznose 16.698,85 eur, rashodi za materijal i energiju iznose 3.627,23 EUR, rashodi za usluge u iznosu 9.891,44 EUR, te ostali rashodi u iznosu od 3.434,06 EUR.  Realizacija u odnosu na prethodno razdoblje je veća zbog više realiziranih aktivnosti po projektima iz Erasmus pograma.</w:t>
      </w:r>
    </w:p>
    <w:p/>
    <w:p>
      <w:pPr>
        <w:jc w:val="center"/>
        <w:pStyle w:val="Normal"/>
        <w:spacing w:line="240" w:lineRule="auto"/>
        <w:keepNext/>
      </w:pPr>
      <w:r>
        <w:rPr>
          <w:sz w:val="28"/>
          <w:rFonts w:ascii="Times New Roman" w:hAnsi="Times New Roman"/>
        </w:rPr>
        <w:t xml:space="preserve">Bilješka 10.</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3681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Tekuće pomoći temeljem prijenosa EU sredstava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3681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8.906,00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26.034,00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292,3</w:t>
            </w:r>
          </w:p>
        </w:tc>
      </w:tr>
    </w:tbl>
    <w:p>
      <w:pPr>
        <w:spacing w:before="0" w:after="0"/>
      </w:pPr>
    </w:p>
    <w:p>
      <w:r>
        <w:t xml:space="preserve">Rashodi se odnose na prijenos sredstava temeljem Ugovora o suradnji:</w:t>
      </w:r>
    </w:p>
    <w:p>
      <w:pPr>
        <w:pStyle w:val="ListParagraph"/>
        <w:numPr>
          <w:ilvl w:val="0"/>
          <w:numId w:val="2"/>
        </w:numPr>
      </w:pPr>
      <w:r>
        <w:t xml:space="preserve"> po Erasmus akreditaciji 2023.:</w:t>
      </w:r>
    </w:p>
    <w:p>
      <w:pPr>
        <w:pStyle w:val="ListParagraph"/>
        <w:numPr>
          <w:ilvl w:val="1"/>
          <w:numId w:val="2"/>
        </w:numPr>
      </w:pPr>
      <w:r>
        <w:t xml:space="preserve"> za mobilnosti u Španjolsku Udruzi Kajkaviana i Općinskoj knjižnici Krapinske Toplice ,</w:t>
      </w:r>
    </w:p>
    <w:p>
      <w:pPr>
        <w:pStyle w:val="ListParagraph"/>
        <w:numPr>
          <w:ilvl w:val="1"/>
          <w:numId w:val="2"/>
        </w:numPr>
      </w:pPr>
      <w:r>
        <w:t xml:space="preserve">za mobilnost u Prag, Češka Republika Muzeju Radoboj,</w:t>
      </w:r>
    </w:p>
    <w:p>
      <w:pPr>
        <w:pStyle w:val="ListParagraph"/>
        <w:numPr>
          <w:ilvl w:val="0"/>
          <w:numId w:val="2"/>
        </w:numPr>
      </w:pPr>
      <w:r>
        <w:t xml:space="preserve">Erasmus akreditacije 2024. za mobilnosti u Gdanjsk, Poljska Udruzi Kajkaviana</w:t>
      </w:r>
    </w:p>
    <w:p>
      <w:pPr>
        <w:pStyle w:val="ListParagraph"/>
        <w:numPr>
          <w:ilvl w:val="0"/>
          <w:numId w:val="2"/>
        </w:numPr>
      </w:pPr>
      <w:r>
        <w:t xml:space="preserve">te za preostala sredstva iz Organizacijske potpore od prethodnih Erasmus akreditacija svim članovima konzorcija (GKP, OKKT, MR i Udruga Kajkaviana).</w:t>
      </w:r>
    </w:p>
    <w:p/>
    <w:p>
      <w:pPr>
        <w:jc w:val="center"/>
        <w:pStyle w:val="Normal"/>
        <w:spacing w:line="240" w:lineRule="auto"/>
        <w:keepNext/>
      </w:pPr>
      <w:r>
        <w:rPr>
          <w:sz w:val="28"/>
          <w:rFonts w:ascii="Times New Roman" w:hAnsi="Times New Roman"/>
        </w:rPr>
        <w:t xml:space="preserve">Bilješka 11.</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369</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Prijenosi između proračunskih korisnika istog proračuna (šifre 3691 do 3694)</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369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1.810,00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800,00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44,2</w:t>
            </w:r>
          </w:p>
        </w:tc>
      </w:tr>
    </w:tbl>
    <w:p>
      <w:pPr>
        <w:spacing w:before="0" w:after="0"/>
      </w:pPr>
    </w:p>
    <w:p>
      <w:r>
        <w:t xml:space="preserve">Iznos od 800,00 EUR prebačen je Gradskoj knjižnici po završnom izvješću temeljem projekta Erasmus akreditacije temeljem Sporazuma br. 2022-1-HR01-KA121-ADU-000067746 i Ugovora o suradnji između Muzeja i Knjižnice. </w:t>
      </w:r>
    </w:p>
    <w:p/>
    <w:p>
      <w:pPr>
        <w:jc w:val="center"/>
        <w:pStyle w:val="Normal"/>
        <w:spacing w:line="240" w:lineRule="auto"/>
        <w:keepNext/>
      </w:pPr>
      <w:r>
        <w:rPr>
          <w:sz w:val="28"/>
          <w:rFonts w:ascii="Times New Roman" w:hAnsi="Times New Roman"/>
        </w:rPr>
        <w:t xml:space="preserve">Bilješka 12.</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Rashodi za nabavu nefinancijske imovine (šifre 41+42+43+44+45)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14.041,81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4.781,47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34,1</w:t>
            </w:r>
          </w:p>
        </w:tc>
      </w:tr>
    </w:tbl>
    <w:p>
      <w:pPr>
        <w:spacing w:before="0" w:after="0"/>
      </w:pPr>
    </w:p>
    <w:p>
      <w:r>
        <w:t xml:space="preserve">Iskazani rashodi u iznosu od 4.781,47 EUR koji se odnose na nabavku namještaja za kuću Janka Leskovara te otkup muzejske građe.  U odnosu na prethodn razdoblje realizarano je znatno manje troškova što se tiče nabavke opreme i namještaja.</w:t>
      </w:r>
    </w:p>
    <w:p/>
    <w:p>
      <w:pPr>
        <w:jc w:val="center"/>
        <w:pStyle w:val="Normal"/>
        <w:spacing w:line="240" w:lineRule="auto"/>
        <w:keepNext/>
      </w:pPr>
      <w:r>
        <w:rPr>
          <w:sz w:val="28"/>
          <w:rFonts w:ascii="Times New Roman" w:hAnsi="Times New Roman"/>
        </w:rPr>
        <w:t xml:space="preserve">Bilješka 13.</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Višak prihoda i primitaka raspoloživ u sljedećem razdoblju (šifre X005 + '9221-9222' - Y005 - '9222-9221')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X006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67.431,12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27.656,83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41,0</w:t>
            </w:r>
          </w:p>
        </w:tc>
      </w:tr>
    </w:tbl>
    <w:p>
      <w:pPr>
        <w:spacing w:before="0" w:after="0"/>
      </w:pPr>
    </w:p>
    <w:p>
      <w:r>
        <w:t xml:space="preserve">Na šifri X678  prikazani su ukupni prihodi i primici u iznosu 25.957,89 EUR , na šifri Y345 ukupno rashodi i izdaci 65.732,18 EUR . Rezultat poslovanja za 2025. godinu je manjak prihoda i iznosi 39.774,29 EUR . Preneseni višak iz 2024. godine iznosi 67.431,12 EUR . Ukupni višak za prijenos u sljedeće razdoblje iznosi 27.656,83 EUR . </w:t>
      </w:r>
    </w:p>
    <w:p>
      <w:r>
        <w:rPr>
          <w:b/>
        </w:rPr>
        <w:t xml:space="preserve">VIŠAK/MANJAK</w:t>
      </w:r>
    </w:p>
    <w:p>
      <w:r>
        <w:t xml:space="preserve">Višak prihoda iznosi 27.656,83 EUR , te se prenosi u sljedeću godinu. </w:t>
      </w:r>
    </w:p>
    <w:p>
      <w:r>
        <w:t xml:space="preserve">Preneseni višak je iz izvora:</w:t>
      </w:r>
    </w:p>
    <w:p>
      <w:pPr>
        <w:pStyle w:val="ListParagraph"/>
        <w:numPr>
          <w:ilvl w:val="0"/>
          <w:numId w:val="2"/>
        </w:numPr>
      </w:pPr>
      <w:r>
        <w:t xml:space="preserve">Vlastiti prihodi  3.897.04 EUR </w:t>
      </w:r>
    </w:p>
    <w:p>
      <w:pPr>
        <w:pStyle w:val="ListParagraph"/>
        <w:numPr>
          <w:ilvl w:val="0"/>
          <w:numId w:val="2"/>
        </w:numPr>
      </w:pPr>
      <w:r>
        <w:t xml:space="preserve">Prihodi od posebnih namjena 4.614,38 EUR </w:t>
      </w:r>
    </w:p>
    <w:p>
      <w:pPr>
        <w:pStyle w:val="ListParagraph"/>
        <w:numPr>
          <w:ilvl w:val="0"/>
          <w:numId w:val="2"/>
        </w:numPr>
      </w:pPr>
      <w:r>
        <w:t xml:space="preserve">Prihodi od pomoći (program Erasmus+) 19.145,41 EUR .</w:t>
      </w:r>
    </w:p>
    <w:p/>
    <w:p>
      <w:pPr>
        <w:jc w:val="center"/>
        <w:pStyle w:val="Normal"/>
        <w:spacing w:line="240" w:lineRule="auto"/>
        <w:keepNext/>
      </w:pPr>
      <w:r>
        <w:rPr>
          <w:b/>
          <w:sz w:val="28"/>
          <w:rFonts w:ascii="Times New Roman" w:hAnsi="Times New Roman"/>
        </w:rPr>
        <w:t xml:space="preserve">Bilanca</w:t>
      </w:r>
    </w:p>
    <w:p>
      <w:pPr>
        <w:jc w:val="center"/>
        <w:pStyle w:val="Normal"/>
        <w:spacing w:line="240" w:lineRule="auto"/>
        <w:keepNext/>
      </w:pPr>
      <w:r>
        <w:rPr>
          <w:sz w:val="28"/>
          <w:rFonts w:ascii="Times New Roman" w:hAnsi="Times New Roman"/>
        </w:rPr>
        <w:t xml:space="preserve">Bilješka 14.</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1. siječnja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31. prosinca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IMOVINA (šifre B002+1)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B001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204.630,78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191.106,81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93,4</w:t>
            </w:r>
          </w:p>
        </w:tc>
      </w:tr>
    </w:tbl>
    <w:p>
      <w:pPr>
        <w:spacing w:before="0" w:after="0"/>
      </w:pPr>
    </w:p>
    <w:p>
      <w:r>
        <w:t xml:space="preserve">Ukupna aktiva iznosi 191.106,81 EUR, sastoji se od imovine i financijske imovine.</w:t>
      </w:r>
    </w:p>
    <w:p/>
    <w:p>
      <w:pPr>
        <w:jc w:val="center"/>
        <w:pStyle w:val="Normal"/>
        <w:spacing w:line="240" w:lineRule="auto"/>
        <w:keepNext/>
      </w:pPr>
      <w:r>
        <w:rPr>
          <w:sz w:val="28"/>
          <w:rFonts w:ascii="Times New Roman" w:hAnsi="Times New Roman"/>
        </w:rPr>
        <w:t xml:space="preserve">Bilješka 15.</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1. siječnja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31. prosinca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024 i 02924</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Knjige, umjetnička djela i ostale izložbene vrijednosti (šifre 0241 do 0244 - 02924)</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024 i 02924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7.805,31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10.762,18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137,9</w:t>
            </w:r>
          </w:p>
        </w:tc>
      </w:tr>
    </w:tbl>
    <w:p>
      <w:pPr>
        <w:spacing w:before="0" w:after="0"/>
      </w:pPr>
    </w:p>
    <w:p>
      <w:r>
        <w:t xml:space="preserve">Povećanje se odnosi na veću vrijednost novonabavljenih izložaka u Muzeju u odnosu na prethodno razdoblje.</w:t>
      </w:r>
    </w:p>
    <w:p/>
    <w:p>
      <w:pPr>
        <w:jc w:val="center"/>
        <w:pStyle w:val="Normal"/>
        <w:spacing w:line="240" w:lineRule="auto"/>
        <w:keepNext/>
      </w:pPr>
      <w:r>
        <w:rPr>
          <w:sz w:val="28"/>
          <w:rFonts w:ascii="Times New Roman" w:hAnsi="Times New Roman"/>
        </w:rPr>
        <w:t xml:space="preserve">Bilješka 16.</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1. siječnja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31. prosinca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Financijska imovina (šifre 11+12+13+14+15+16+17+19)</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86.769,32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70.645,59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81,4</w:t>
            </w:r>
          </w:p>
        </w:tc>
      </w:tr>
    </w:tbl>
    <w:p>
      <w:pPr>
        <w:spacing w:before="0" w:after="0"/>
      </w:pPr>
    </w:p>
    <w:p>
      <w:r>
        <w:t xml:space="preserve">Muzej grada Pregrade je sa danom 29.12.2025. zatvorio svoj bankovni račun jer sukladno Odluci o uvođenju u sustava riznice (Službeni glasnik KZŽ 36A/25) sa danom 1. siječnja 2026. godine financijsko poslovanje provodi se putem jedinstvenog računa Grada Pregrade, te su sva novčana sredstva prenesena na račun Grada.</w:t>
      </w:r>
    </w:p>
    <w:p>
      <w:r>
        <w:t xml:space="preserve"> </w:t>
      </w:r>
    </w:p>
    <w:p/>
    <w:p>
      <w:pPr>
        <w:jc w:val="center"/>
        <w:pStyle w:val="Normal"/>
        <w:spacing w:line="240" w:lineRule="auto"/>
        <w:keepNext/>
      </w:pPr>
      <w:r>
        <w:rPr>
          <w:sz w:val="28"/>
          <w:rFonts w:ascii="Times New Roman" w:hAnsi="Times New Roman"/>
        </w:rPr>
        <w:t xml:space="preserve">Bilješka 17.</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1. siječnja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31. prosinca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163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Potraživanja za pomoći iz inozemstva i od subjekata unutar općeg proračuna (šifre 1631 do 1638)</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163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7.460,00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Potraživanje se odnosi na preostali iznos plaćanja po projektu CIRC u sklopu Erasmus projekta čija se naplata očekuje početkom 2026. godine.</w:t>
      </w:r>
    </w:p>
    <w:p/>
    <w:p>
      <w:pPr>
        <w:jc w:val="center"/>
        <w:pStyle w:val="Normal"/>
        <w:spacing w:line="240" w:lineRule="auto"/>
        <w:keepNext/>
      </w:pPr>
      <w:r>
        <w:rPr>
          <w:sz w:val="28"/>
          <w:rFonts w:ascii="Times New Roman" w:hAnsi="Times New Roman"/>
        </w:rPr>
        <w:t xml:space="preserve">Bilješka 18.</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1. siječnja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31. prosinca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167</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Potraživanja proračunskih korisnika za sredstva uplaćena u nadležni proračun i za prihode od HZZO-a na temelju ugovornih obveza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167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63.185,56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Sukladno Odluci o uvođenju u sustava riznice (Službeni glasnik KZŽ 36A/25) iznos od 63.185,56 EUR je prebačen na račun Grada Pregrade,</w:t>
      </w:r>
    </w:p>
    <w:p/>
    <w:p>
      <w:pPr>
        <w:jc w:val="center"/>
        <w:pStyle w:val="Normal"/>
        <w:spacing w:line="240" w:lineRule="auto"/>
        <w:keepNext/>
      </w:pPr>
      <w:r>
        <w:rPr>
          <w:sz w:val="28"/>
          <w:rFonts w:ascii="Times New Roman" w:hAnsi="Times New Roman"/>
        </w:rPr>
        <w:t xml:space="preserve">Bilješka 19.</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1. siječnja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31. prosinca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OBVEZE I VLASTITI IZVORI (šifre 2+9)</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B003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204.630,78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191.106,81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93,4</w:t>
            </w:r>
          </w:p>
        </w:tc>
      </w:tr>
    </w:tbl>
    <w:p>
      <w:pPr>
        <w:spacing w:before="0" w:after="0"/>
      </w:pPr>
    </w:p>
    <w:p>
      <w:r>
        <w:t xml:space="preserve">Ukupnapasiva iznosi 191.106,81 EUR i sastoji se od obveza i vlastitih izvora.</w:t>
      </w:r>
    </w:p>
    <w:p/>
    <w:p>
      <w:pPr>
        <w:jc w:val="center"/>
        <w:pStyle w:val="Normal"/>
        <w:spacing w:line="240" w:lineRule="auto"/>
        <w:keepNext/>
      </w:pPr>
      <w:r>
        <w:rPr>
          <w:sz w:val="28"/>
          <w:rFonts w:ascii="Times New Roman" w:hAnsi="Times New Roman"/>
        </w:rPr>
        <w:t xml:space="preserve">Bilješka 20.</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1. siječnja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31. prosinca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Obveze (šifre 23+24+25+26+27+29)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19.338,19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35.528,75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183,7</w:t>
            </w:r>
          </w:p>
        </w:tc>
      </w:tr>
    </w:tbl>
    <w:p>
      <w:pPr>
        <w:spacing w:before="0" w:after="0"/>
      </w:pPr>
    </w:p>
    <w:p>
      <w:r>
        <w:t xml:space="preserve">Povećanje od 83,7 % obveza odnosi se knjiženje po kontu 275 Obveze za EU predujmove gdje je iskazana obveza za predujam isplaćen od Agencije za mobilnost i programe EU u iznosu do 35.016,00 EUR  vezan za projekt Erasmus akreditacija za 2025.godinu. Obveze po računima pristiglima krajem 2025. godine iznose 512,75 EUR .</w:t>
      </w:r>
    </w:p>
    <w:p/>
    <w:p>
      <w:pPr>
        <w:jc w:val="center"/>
        <w:pStyle w:val="Normal"/>
        <w:spacing w:line="240" w:lineRule="auto"/>
        <w:keepNext/>
      </w:pPr>
      <w:r>
        <w:rPr>
          <w:sz w:val="28"/>
          <w:rFonts w:ascii="Times New Roman" w:hAnsi="Times New Roman"/>
        </w:rPr>
        <w:t xml:space="preserve">Bilješka 21.</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1. siječnja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31. prosinca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239</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Ostale tekuće obveze</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239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17.086,24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w:t>
            </w:r>
          </w:p>
        </w:tc>
      </w:tr>
    </w:tbl>
    <w:p>
      <w:pPr>
        <w:spacing w:before="0" w:after="0"/>
      </w:pPr>
    </w:p>
    <w:p>
      <w:r>
        <w:t xml:space="preserve">Sve obveze po kontu 239 - obveze proračunskih korisnika za povrat u proračuna s 1.1.2025. godine su prebačene na novi konto skupine 27, zbog promjene u načinu evidentiranja i iskazivanja podataka. Na dan 31.12.2025. nema obveza za povrat u nadležni proračun.</w:t>
      </w:r>
    </w:p>
    <w:p/>
    <w:p>
      <w:pPr>
        <w:jc w:val="center"/>
        <w:pStyle w:val="Normal"/>
        <w:spacing w:line="240" w:lineRule="auto"/>
        <w:keepNext/>
      </w:pPr>
      <w:r>
        <w:rPr>
          <w:sz w:val="28"/>
          <w:rFonts w:ascii="Times New Roman" w:hAnsi="Times New Roman"/>
        </w:rPr>
        <w:t xml:space="preserve">Bilješka 22.</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1. siječnja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31. prosinca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27</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Obveze za predujmove, depozite, jamčevne pologe i tuđe prihode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27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35.016,00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Sve obveze po skupini konta 27 s 1.1.2025. godine su prebačene sa konta 239, zbog promjene u načinu evidentiranja i iskazivanja podataka. Iskazani iznos odnosi se na obveze za  EU predujmove po projektu Erasmus akreditacija za 2025.godinu</w:t>
      </w:r>
    </w:p>
    <w:p/>
    <w:p>
      <w:pPr>
        <w:jc w:val="center"/>
        <w:pStyle w:val="Normal"/>
        <w:spacing w:line="240" w:lineRule="auto"/>
        <w:keepNext/>
      </w:pPr>
      <w:r>
        <w:rPr>
          <w:b/>
          <w:sz w:val="28"/>
          <w:rFonts w:ascii="Times New Roman" w:hAnsi="Times New Roman"/>
        </w:rPr>
        <w:t xml:space="preserve">Izvještaj o rashodima prema funkcijskoj klasifikaciji</w:t>
      </w:r>
    </w:p>
    <w:p>
      <w:pPr>
        <w:jc w:val="center"/>
        <w:pStyle w:val="Normal"/>
        <w:spacing w:line="240" w:lineRule="auto"/>
        <w:keepNext/>
      </w:pPr>
      <w:r>
        <w:rPr>
          <w:sz w:val="28"/>
          <w:rFonts w:ascii="Times New Roman" w:hAnsi="Times New Roman"/>
        </w:rPr>
        <w:t xml:space="preserve">Bilješka 23.</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08</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Rekreacija, kultura i religija (šifre 081 do 086)</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08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51.299,00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65.732,18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128,1</w:t>
            </w:r>
          </w:p>
        </w:tc>
      </w:tr>
    </w:tbl>
    <w:p>
      <w:pPr>
        <w:spacing w:before="0" w:after="0"/>
      </w:pPr>
    </w:p>
    <w:p>
      <w:r>
        <w:t xml:space="preserve">Iskazani iznos odnosi se na ukupne troškove poslovanja koji iznosi 65.732,18 EUR.</w:t>
      </w:r>
    </w:p>
    <w:p/>
    <w:p>
      <w:pPr>
        <w:jc w:val="center"/>
        <w:pStyle w:val="Normal"/>
        <w:spacing w:line="240" w:lineRule="auto"/>
        <w:keepNext/>
      </w:pPr>
      <w:r>
        <w:rPr>
          <w:b/>
          <w:sz w:val="28"/>
          <w:rFonts w:ascii="Times New Roman" w:hAnsi="Times New Roman"/>
        </w:rPr>
        <w:t xml:space="preserve">Izvještaj o obvezama</w:t>
      </w:r>
    </w:p>
    <w:p>
      <w:pPr>
        <w:jc w:val="center"/>
        <w:pStyle w:val="Normal"/>
        <w:spacing w:line="240" w:lineRule="auto"/>
        <w:keepNext/>
      </w:pPr>
      <w:r>
        <w:rPr>
          <w:sz w:val="28"/>
          <w:rFonts w:ascii="Times New Roman" w:hAnsi="Times New Roman"/>
        </w:rPr>
        <w:t xml:space="preserve">Bilješka 24.</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Iznos</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Stanje obveza na kraju izvještajnog razdoblja (šifre V001+V002-V004) i (šifre V007+V009)</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V006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35.528,75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Iznos od 35.528,75 EUR sastoji se od:</w:t>
      </w:r>
    </w:p>
    <w:p>
      <w:pPr>
        <w:pStyle w:val="ListParagraph"/>
        <w:numPr>
          <w:ilvl w:val="0"/>
          <w:numId w:val="2"/>
        </w:numPr>
      </w:pPr>
      <w:r>
        <w:t xml:space="preserve">obveze za primljena sredstva za EU sredstva 35.016,00 EUR,</w:t>
      </w:r>
    </w:p>
    <w:p>
      <w:pPr>
        <w:pStyle w:val="ListParagraph"/>
        <w:numPr>
          <w:ilvl w:val="0"/>
          <w:numId w:val="2"/>
        </w:numPr>
      </w:pPr>
      <w:r>
        <w:t xml:space="preserve">obveze po zaprimljenim računa koji se odnose na 2025. godinu u iznosu od 512,75 EUR.</w:t>
      </w:r>
    </w:p>
    <w:p/>
    <w:p>
      <w:pPr>
        <w:jc w:val="center"/>
        <w:pStyle w:val="Normal"/>
        <w:spacing w:line="240" w:lineRule="auto"/>
        <w:keepNext/>
      </w:pPr>
      <w:r>
        <w:rPr>
          <w:sz w:val="28"/>
          <w:rFonts w:ascii="Times New Roman" w:hAnsi="Times New Roman"/>
        </w:rPr>
        <w:t xml:space="preserve">Bilješka 25.</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Iznos</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Stanje dospjelih obveza na kraju izvještajnog razdoblja (šifre V008+D23+D24 + 'D dio 25,26' + D27)</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V007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7,66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Ukupne obveze nastale u 2025. godini iznose 35.528,75 EUR.</w:t>
      </w:r>
    </w:p>
    <w:p>
      <w:r>
        <w:rPr>
          <w:b/>
        </w:rPr>
        <w:t xml:space="preserve">Šifra V006 </w:t>
      </w:r>
      <w:r>
        <w:t xml:space="preserve">Obveze na kraju izvještajnog razdoblja iznose 35.528,75 EUR. Ukupne dospijele obveze iznose 7,66 EUR. Nedospjele obveze se odnose na obveze po računima za troškove nastale u 2025. koji dospijevaju u siječnju 2026. godine. </w:t>
      </w:r>
    </w:p>
    <w:p/>
    <w:p>
      <w:pPr>
        <w:jc w:val="center"/>
        <w:pStyle w:val="Normal"/>
        <w:spacing w:line="240" w:lineRule="auto"/>
        <w:keepNext/>
      </w:pPr>
      <w:r>
        <w:rPr>
          <w:sz w:val="28"/>
          <w:rFonts w:ascii="Times New Roman" w:hAnsi="Times New Roman"/>
        </w:rPr>
        <w:t xml:space="preserve">Bilješka 26.</w:t>
      </w:r>
    </w:p>
    <w:p>
      <w:pPr>
        <w:jc w:val="both"/>
        <w:pStyle w:val="Normal"/>
        <w:spacing w:line="240" w:lineRule="auto"/>
      </w:pPr>
      <w:r>
        <w:rPr>
          <w:b/>
          <w:sz w:val="24"/>
          <w:rFonts w:ascii="Times New Roman" w:hAnsi="Times New Roman"/>
        </w:rPr>
        <w:t xml:space="preserve">EU izvještaj</w:t>
      </w:r>
    </w:p>
    <w:p>
      <w:r>
        <w:t xml:space="preserve">U EU izvještaju prikazani su prihodi od 7.098,69 EUR koji se odnose na povrat sredstava po realiziranoj aktivnosti TCA sastanka iz 2024. godine, te na sredstva po završnom izvješću po projektu Erasmus akreditacija temeljem Sporazuma br. 2022-1-HR01-KA121-ADU-000067746.</w:t>
      </w:r>
    </w:p>
    <w:p>
      <w:r>
        <w:t xml:space="preserve">U rashodima su iskazani troškovi u iznosu od 45.683,51 EUR .</w:t>
      </w:r>
    </w:p>
    <w:p>
      <w:r>
        <w:t xml:space="preserve">Najznačajniji rashodi odnose se na troškove službenih putovanja za realizaciju aktivnosti po Erasmus projektima u iznosu od 18.849,51 EUR, te na prijenose sredstava partnerima u iznosu od 26.834,00 EUR.</w:t>
      </w:r>
    </w:p>
    <w:p>
      <w:r>
        <w:t xml:space="preserve">Na kontu 275 Obveze za EU predujmove iskazan je predujam isplaćen od Agencije za mobilnost i programe EU u iznosu do 35.016,00 EUR vezan za projekt Erasmus akreditacija za 2025.godinu. Na kontu 1638 iskazano je potraživanje u iznosu od 7.460,00 EUR po projektu CIRC čije plaćanje se očekuje početkom 2026. godine.</w:t>
      </w:r>
    </w:p>
    <w:p/>
  </w:body>
</w:document>
</file>

<file path=word/numbering.xml><?xml version="1.0" encoding="utf-8"?>
<w:numbering xmlns:w="http://schemas.openxmlformats.org/wordprocessingml/2006/main">
  <w:abstractNum w:abstractNumId="1">
    <w:multiLevelType w:val="hybridMultilevel"/>
    <w:name w:val="disc"/>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lvl w:ilvl="6">
      <w:start w:val="1"/>
      <w:numFmt w:val="bullet"/>
      <w:lvlText w:val="•"/>
      <w:lvlJc w:val="left"/>
      <w:pPr>
        <w:ind w:left="5040" w:hanging="360"/>
      </w:pPr>
    </w:lvl>
    <w:lvl w:ilvl="7">
      <w:start w:val="1"/>
      <w:numFmt w:val="bullet"/>
      <w:lvlText w:val="•"/>
      <w:lvlJc w:val="left"/>
      <w:pPr>
        <w:ind w:left="5760" w:hanging="360"/>
      </w:pPr>
    </w:lvl>
    <w:lvl w:ilvl="8">
      <w:start w:val="1"/>
      <w:numFmt w:val="bullet"/>
      <w:lvlText w:val="•"/>
      <w:lvlJc w:val="left"/>
      <w:pPr>
        <w:ind w:left="6480" w:hanging="360"/>
      </w:pPr>
    </w:lvl>
  </w:abstractNum>
  <w:num w:numId="2">
    <w:abstractNumId w:val="1"/>
    <w:lvlOverride w:ilvl="0">
      <w:startOverride w:val="1"/>
    </w:lvlOverride>
  </w:num>
</w:numbering>
</file>

<file path=word/styles.xml><?xml version="1.0" encoding="utf-8"?>
<w:styles xmlns:w="http://schemas.openxmlformats.org/wordprocessingml/2006/main">
  <w:docDefaults>
    <w:rPrDefault>
      <w:rPr>
        <w:rFonts w:ascii="Times New Roman" w:hAnsi="Times New Roman"/>
        <w:sz w:val="24"/>
      </w:rPr>
    </w:rPrDefault>
  </w:docDefaults>
  <w:style w:type="paragraph" w:styleId="Normal" w:default="true">
    <w:name w:val="Normal"/>
    <w:rPr>
      <w:rFonts w:ascii="Times New Roman" w:hAnsi="Times New Roman"/>
      <w:sz w:val="24"/>
    </w:rPr>
  </w:style>
  <w:style xmlns:w="http://schemas.openxmlformats.org/wordprocessingml/2006/main" w:type="paragraph" w:styleId="ListParagraph">
    <w:name w:val="List Paragraph"/>
    <w:next w:val="List Paragraph"/>
    <w:pPr>
      <w:keepNext w:val="0"/>
      <w:keepLines w:val="0"/>
      <w:spacing w:before="0" w:after="0" w:line="240" w:lineRule="auto"/>
      <w:ind w:start="720" w:end="0" w:firstLine="0"/>
      <w:contextualSpacing/>
    </w:pPr>
  </w:style>
</w:styles>
</file>

<file path=word/_rels/document.xml.rels>&#65279;<?xml version="1.0" encoding="utf-8"?><Relationships xmlns="http://schemas.openxmlformats.org/package/2006/relationships"><Relationship Type="http://schemas.openxmlformats.org/officeDocument/2006/relationships/styles" Target="/word/styles.xml" Id="R50b320e31de74379" /><Relationship Type="http://schemas.openxmlformats.org/officeDocument/2006/relationships/numbering" Target="/word/numbering.xml" Id="R3ef8ccb7572443d9" /></Relationships>
</file>